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2024年度政务和公益机构域名注册运行费用及运行维护费用项目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绩效评价报告</w:t>
      </w:r>
    </w:p>
    <w:p>
      <w:pPr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pStyle w:val="7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pStyle w:val="7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bidi w:val="0"/>
        <w:rPr>
          <w:rFonts w:hint="eastAsia" w:eastAsia="宋体"/>
          <w:lang w:val="en-US" w:eastAsia="zh-CN"/>
        </w:rPr>
      </w:pPr>
    </w:p>
    <w:p>
      <w:pPr>
        <w:bidi w:val="0"/>
        <w:ind w:firstLine="1280" w:firstLineChars="400"/>
        <w:jc w:val="left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项目名称：政务和公益机构域名注册运行费用及运行</w:t>
      </w:r>
    </w:p>
    <w:p>
      <w:pPr>
        <w:bidi w:val="0"/>
        <w:ind w:left="2880" w:leftChars="900" w:firstLine="0" w:firstLineChars="0"/>
        <w:jc w:val="left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维护费用</w:t>
      </w:r>
    </w:p>
    <w:p>
      <w:pPr>
        <w:bidi w:val="0"/>
        <w:ind w:firstLine="128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项目单位：中国共产党呼和浩特市委员会机构编制委</w:t>
      </w:r>
    </w:p>
    <w:p>
      <w:pPr>
        <w:bidi w:val="0"/>
        <w:ind w:left="2880" w:leftChars="90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员会办公室</w:t>
      </w:r>
    </w:p>
    <w:p>
      <w:pPr>
        <w:pStyle w:val="7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pStyle w:val="7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pStyle w:val="7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autoSpaceDE/>
        <w:autoSpaceDN/>
        <w:spacing w:line="480" w:lineRule="auto"/>
        <w:jc w:val="center"/>
        <w:rPr>
          <w:rFonts w:hint="eastAsia" w:ascii="Times New Roman" w:hAnsi="Times New Roman" w:eastAsia="宋体" w:cs="Times New Roman"/>
          <w:kern w:val="2"/>
          <w:sz w:val="30"/>
          <w:szCs w:val="30"/>
          <w:lang w:eastAsia="zh-CN"/>
        </w:rPr>
      </w:pPr>
      <w:r>
        <w:rPr>
          <w:rFonts w:ascii="Times New Roman" w:hAnsi="Times New Roman" w:eastAsia="宋体" w:cs="Times New Roman"/>
          <w:kern w:val="2"/>
          <w:sz w:val="30"/>
          <w:szCs w:val="30"/>
        </w:rPr>
        <w:t>二〇二</w:t>
      </w:r>
      <w:r>
        <w:rPr>
          <w:rFonts w:hint="eastAsia" w:ascii="Times New Roman" w:hAnsi="Times New Roman" w:eastAsia="宋体" w:cs="Times New Roman"/>
          <w:kern w:val="2"/>
          <w:sz w:val="30"/>
          <w:szCs w:val="30"/>
          <w:lang w:eastAsia="zh-CN"/>
        </w:rPr>
        <w:t>五</w:t>
      </w:r>
      <w:r>
        <w:rPr>
          <w:rFonts w:ascii="Times New Roman" w:hAnsi="Times New Roman" w:eastAsia="宋体" w:cs="Times New Roman"/>
          <w:kern w:val="2"/>
          <w:sz w:val="30"/>
          <w:szCs w:val="30"/>
        </w:rPr>
        <w:t>年</w:t>
      </w:r>
      <w:r>
        <w:rPr>
          <w:rFonts w:hint="eastAsia" w:ascii="Times New Roman" w:hAnsi="Times New Roman" w:eastAsia="宋体" w:cs="Times New Roman"/>
          <w:kern w:val="2"/>
          <w:sz w:val="30"/>
          <w:szCs w:val="30"/>
          <w:lang w:eastAsia="zh-CN"/>
        </w:rPr>
        <w:t>叁</w:t>
      </w:r>
      <w:r>
        <w:rPr>
          <w:rFonts w:ascii="Times New Roman" w:hAnsi="Times New Roman" w:eastAsia="宋体" w:cs="Times New Roman"/>
          <w:kern w:val="2"/>
          <w:sz w:val="30"/>
          <w:szCs w:val="30"/>
        </w:rPr>
        <w:t>月</w:t>
      </w:r>
      <w:r>
        <w:rPr>
          <w:rFonts w:hint="eastAsia" w:ascii="Times New Roman" w:hAnsi="Times New Roman" w:eastAsia="宋体" w:cs="Times New Roman"/>
          <w:kern w:val="2"/>
          <w:sz w:val="30"/>
          <w:szCs w:val="30"/>
          <w:lang w:eastAsia="zh-CN"/>
        </w:rPr>
        <w:t>二十捌日</w:t>
      </w:r>
    </w:p>
    <w:p>
      <w:pPr>
        <w:pStyle w:val="7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一、基本情况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3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1.项目背景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  <w:t>根据《关于市编办成立电子政务中心的批复》（呼机编发〔2011〕90号），为加强全市机构编制实名制和中文域名等电子政务工作，成立呼和浩特市机构编制委员会办公室电子政务中心。2021年事业单位改革时更名为呼和浩特市政务和公益机构域名注册中心，由此设立“政务和公益机构域名注册运行费用及运行维护费用”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2.主要内容及实施情况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  <w:t>“政务和公益机构域名注册运行费用及运行维护费用”是用于对全市的党政机关及事业单位域名注册运行进行管理，并对办机关局域网进行运维，保证网站域名和网上名称规范，为全办网络安全及正常运行提供技术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  <w:t>该项目年度绩效指标完成情况较好，执行过程中产生了良好的社会效益，达到了预期的绩效目标。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3.资金投入和使用情况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  <w:t>“政务和公益机构域名注册运行费用及运行维护费用”项目本年度总预算30万元，执行25.68万元，预算执行率85.6%。使用情况：一是用于域名注册费0.42万元，通过缴纳21家单位的中文域名运行费，达到保证全市单位门户网站正常使用的目的；二是用于办公费15.64万元，通过购买硒鼓、墨盒、粉盒、复印纸等耗材，达到保证单位正常运转、提高工作效率的目的；三是用于差旅费3.11万元，通过参加“2024年五万大学生留呼专项引才活动”及对引进人才进行实地考察，达到招才引智、留才用才的目的；四是用于维修（护）费5万元，通过对搬迁办公室进行维修改造，达到改善办公环境、更好提供服务的目的；五是用于委托业务费0.13万元，通过缴纳普通话水平测试费用，达到促进普通话推广和使用、提升沟通效率和服务质量的目的；六是用于办公设备购置1.38万元，通过购买三人沙发、茶几、手机屏蔽保密柜、扫描仪，达到改善工作环境、提高工作效率的目的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3" w:firstLineChars="200"/>
        <w:textAlignment w:val="auto"/>
        <w:rPr>
          <w:rFonts w:hint="eastAsia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（二）项目绩效目标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1.总体目标。</w:t>
      </w:r>
      <w:r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  <w:t>通过对市直党政群机关、事业单位政务和公益机构域名注册管理、网站开办审核和资格复核、网站域名和网上名称规范使用管理等工作，达到加强全市机构编制实名制和保证中文域名规范的目的。通过对办机关局域网日常使用、办公自动化、门户网站的运维，达到保证政务服务信息化及网络安全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2.阶段性目标。</w:t>
      </w:r>
      <w:r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  <w:t>通过域名注册运行管理及对办机关局域网的运维，确保本年度网站域名和网上名称规范，为机构编制网络安全及正常运行提供技术支撑。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二、绩效评价工作开展情况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3" w:firstLineChars="200"/>
        <w:textAlignment w:val="auto"/>
        <w:rPr>
          <w:rFonts w:hint="eastAsia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（一）绩效评价目的、对象和范围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1.绩效评价目的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  <w:t>为规范和加强财政支出管理，强化支出责任，建立科学、规范的财政支出绩效评价管理体系，提高财政资金使用效益，及时发现自身存在的问题提出解决方案，确保项目顺利实施及时发挥效益，根据《关于开展2024年度市本级部门（单位）财政支出绩效评价的通知》工作部署，我部门对“政务和公益机构域名注册运行费用及运行维护费用”项目进行绩效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2.绩效评价对象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  <w:t>本次绩效评价的对象是2024年市财政局下达的“政务和公益机构域名注册运行费用及运行维护费用”项目。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3.绩效评价范围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  <w:t>本次绩效评价范围涵盖2024年度“政务和公益机构域名注册运行费用及运行维护费用”项目的所有支出，涉及资金25.68万元，占执行资金的100%。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  <w:t>评价基准日为2024年12月31日。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3" w:firstLineChars="200"/>
        <w:textAlignment w:val="auto"/>
        <w:rPr>
          <w:rFonts w:hint="eastAsia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（二）绩效评价原则、评价指标体系、评价方法、评价标准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1.绩效评价原则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  <w:t>（1）科学公正。绩效评价应当运用科学合理的方法，按照规范的程序，对项目绩效进行客观、公正的反映。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  <w:t>（2）统筹兼顾。单位自评由项目单位自主实施，部门评价在单位自评的基础上开展，必要时可委托第三方机构实施。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  <w:t>（3）激励约束。绩效评价结果与预算安排、政策调整、改进管理实质性挂钩，体现奖优罚劣和激励相容导向，有效要安排、低效要压减、无效要问责。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  <w:t>（4）公开透明。绩效评价结果依法依规公开，并自觉接受社会监督。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2.评价指标体系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  <w:sectPr>
          <w:footerReference r:id="rId3" w:type="default"/>
          <w:pgSz w:w="11906" w:h="16838"/>
          <w:pgMar w:top="1440" w:right="1531" w:bottom="1440" w:left="1531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  <w:t>根据市财政局制定的绩效评价指标体系框架，采用了项目支出绩效自评表、项目支出绩效评价指标体系框架，结合项目特点，在共性指标体系三级框架下，进行细化指标解释、评价标准等内容。</w:t>
      </w:r>
    </w:p>
    <w:p>
      <w:pPr>
        <w:pStyle w:val="7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黑体" w:cs="仿宋_GB2312"/>
          <w:sz w:val="28"/>
          <w:szCs w:val="40"/>
          <w:lang w:val="en-US" w:eastAsia="zh-CN"/>
        </w:rPr>
      </w:pPr>
      <w:r>
        <w:rPr>
          <w:rFonts w:hint="eastAsia" w:ascii="仿宋_GB2312" w:hAnsi="仿宋_GB2312" w:eastAsia="黑体" w:cs="仿宋_GB2312"/>
          <w:sz w:val="28"/>
          <w:szCs w:val="40"/>
          <w:lang w:val="en-US" w:eastAsia="zh-CN"/>
        </w:rPr>
        <w:t>表1:2024年度“政务和公益机构域名注册运行费用及运行维护费用”项目绩效评价指标体系框架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default" w:ascii="仿宋_GB2312" w:hAnsi="仿宋_GB2312" w:eastAsia="黑体" w:cs="仿宋_GB2312"/>
          <w:sz w:val="28"/>
          <w:szCs w:val="40"/>
          <w:lang w:val="en-US"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036"/>
        <w:gridCol w:w="2155"/>
        <w:gridCol w:w="695"/>
        <w:gridCol w:w="2837"/>
        <w:gridCol w:w="6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指标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二级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指标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三级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指标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分值</w:t>
            </w:r>
          </w:p>
        </w:tc>
        <w:tc>
          <w:tcPr>
            <w:tcW w:w="2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指标解释</w:t>
            </w: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指标说明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项目决策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（17%）</w:t>
            </w:r>
          </w:p>
        </w:tc>
        <w:tc>
          <w:tcPr>
            <w:tcW w:w="103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A1.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项目立项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A11.立项依据充分性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项目立项是否符合法律法规、相关政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策、发展规划以及部门职责，用以反映和考核项目立项依据情况。</w:t>
            </w: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①项目立项符合国家法律法规、国民经济发展规划和相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关政策得1分，否则不得分；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②项目立项符合行业发展规划和政策要求得1分，否则不得分；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③项目立项与部门职责范围相符，属于部门履职所需得1分，否则不得分；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④项目符合中央、地方事权支出责任划分原则得1分，否则不得分。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A12.立项程序规范性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项目申请、设立过程是否符合相关要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求，用以反映和考核项目立项的规范情况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。</w:t>
            </w: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①项目按照规定的程序申请设立得1分，否则不得分；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②审批文件、材料是符合相关要求得1分，否则不得分；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③事前是否已经过必要的可行性研究、专家论证、风险评估、绩效评估、集体决策得1分，否则不得分。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A2.绩效目标</w:t>
            </w: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A21.绩效目标合理性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项目所设定的绩效目标是否依据充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分，是否符合客观实际，用以反映和考核项目绩效目标与项目实施的相符情况。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①项目有绩效目标得0.5分，否则不得分；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②项目绩效目标与实际工作内容具有相关性得0.5分，否则不得分；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③项目预期产出效益和效果符合正常的业绩水平得0.5分，否则不得分；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④与预算确定的项目投资额或资金量相匹配得0.5分，否则不得分。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A22.绩效指标明确性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依据绩效目标设定的绩效指标是否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清晰、细化、可衡量等，用以反映和考核项目绩效目标的明细化情况。</w:t>
            </w: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①将项目绩效目标细化分解为具体的绩效指标得0.5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分，否则不得分；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②通过清晰、可衡量的指标值予以体现得0.5分，否则不得分；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③与项目目标任务数或计划数相对应得1分，否则不得分。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A3.资金投入</w:t>
            </w: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A31.预算编制科学性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项目预算编制是否经过科学论证、有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明确标准，资金额度与年度目标是否相适应，用以反映和考核项目预算编制的科学性、合理性情况。</w:t>
            </w: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①预算编制经过科学论证得1分，否则不得分；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②预算内容与项目内容匹配得1分，否则不得分；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③预算额度测算依据充分，按照标准编制得1分，否则不得分；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④预算确定的项目投资额或资金量与工作任务相匹配得1分，否则不得分。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A32.资金分配合理性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项目预算资金分配是否有测算依据，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与地方实际是否相适应，用以反映和考核项目预算资金分配的科学性、合理性情况。</w:t>
            </w: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①项目预算资金分配依据充分得1分，否则不得分；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②项目资金分配额度合理，与项目单位或地方实际相适应得1分，否则不得分。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B.项目过程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（20%）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B1.资金管理</w:t>
            </w: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B11.资金到位率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实际到位资金与预算资金的比率，用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以反映和考核资金落实情况对项目实施的总体保障程度。</w:t>
            </w: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资金到位率=（实际到位资金/预算到位资金）×100%。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实际到位资金：一定时期（本年度或项目期）内落实到具体项目单位的资金。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预算资金：一定时期（本年度或项目期）内预算安排到具体项目单位的资金。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资金到位率95%以上（含95%）得满分，80%-95%之间每下降1%扣权重的5%，低于80%不得分。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B12.预算执行率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项目预算资金是否按照计划执行，用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以反映或考核项目预算执行情况.</w:t>
            </w: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预算执行率=（实际支出资金/实际到位资金）×100%。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实际支出资金：一定时期（本年度或项目期）内项目实际拨付的资金。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预算执行率95%以上（含95%）得满分，80%-95%之间每下降1%扣权重的5%，低于80%不得分。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B13.资金使用合规性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项目资金使用是否符合相关的财务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管理制度规定，用以反映和考核项目资金的规范运行情况。</w:t>
            </w: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①符合国家财经法规和财务管理制度以及有关专项资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金管理办法的规定得1分，否则不得分；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②资金的拨付有完整的审批程序和手续得1分，否则不得分；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③符合项目预算批复或合同规定的用途得1分，否则不得分；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④不存在截留、挤占、挪用、虚列支出等情况得1分，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否则不得分。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B2.组织实施</w:t>
            </w: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B21.管理制度健全性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项目实施单位的财务和业务管理制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度是否健全，用以反映和考核财务和业务管理制度对项目顺利实施的保障情况。</w:t>
            </w: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①已制定或具有相应的财务和业务管理制度得2分，否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则不得分；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②财务和业务管理制度合法、合规、完整得2分，否则不得分。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B22.制度执行有效性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项目实施是否符合相关管理规定，用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以反映和考核相关管理制度的有效执行情况。</w:t>
            </w: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①遵守相关法律法规和相关管理规定得1分，否则不得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分；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②项目调整及支出调整手续完备得1分，否则不得分；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③项目合同书、验收报告、技术鉴定、公示等资料齐全并及时归档得1分，否则不得分；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④项目实施的人员条件、场地设备、信息支撑等落实到位得1分，否则不得分。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C.项目产出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（32%）</w:t>
            </w:r>
          </w:p>
        </w:tc>
        <w:tc>
          <w:tcPr>
            <w:tcW w:w="103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C1.数量指标</w:t>
            </w: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机关事业单位域名注册运行管理数量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考察项目是否完成建设内容，用以反映项目产出数量目标的实现程度。</w:t>
            </w: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完成数量目标得满分，否则不得分。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采购保密柜数量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83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完成数量目标得满分，否则不得分。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购买复印纸数量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83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完成数量目标得满分，否则不得分。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购买硒鼓墨盒墨粉数量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83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完成数量目标得满分，否则不得分。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C1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出差人次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83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完成数量目标得满分，否则不得分。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C2.时效指标</w:t>
            </w: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网络故障修复响应时间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考察网络故障修复响应的及时程度。</w:t>
            </w: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项目在计划时间内完成得满分，没有按时完成不得分。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缴纳域名注册费及时性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考察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缴纳域名注册费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及时程度。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项目在计划时间内完成得满分，没有按时完成不得分。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C3.质量指标</w:t>
            </w: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.设备验收合格率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项目完成的质量达标产出数与实际产出数的比率，用以反映和考核项目产出质量目标的实现程度。</w:t>
            </w: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达到标准值得满分；未达到标准值,计算方法：(实际数 /计划数)×100%×指标分值。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门户网站故障率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项目完成的质量达标产出数与实际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产出数的比率，用以反映和考核项目产出质量目标的实现程度。</w:t>
            </w: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达到标准值得满分；未达到标准值,计算方法：(实际数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/计划数)×100%×指标分值。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电子政务域名注册覆盖率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项目完成的质量达标产出数与实际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产出数的比率，用以反映和考核项目产出质量目标的实现程度。</w:t>
            </w: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达到标准值得满分；未达到标准值,计算方法：(实际数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/计划数)×100%×指标分值。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C4.成本指标</w:t>
            </w: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C41.成本控制率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完成项目计划工作目标的实际执行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成本与计划成本的比率，用以反映和考核项目的成本节约程度。</w:t>
            </w: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达到标准值得满分；未达到标准值,计算方法：(实际数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/计划数)×100%×指标分值。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D.项目效果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（31%）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D1.社会效益</w:t>
            </w: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D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推进全市政务和公益中文域名注册管理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用以反映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全市政务和公益中文域名注册管理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提升管理效率的显著程度。</w:t>
            </w: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通过问卷调查按标准值等级得分，计算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方法：程度等级从显著到一般的权重分别为100%、60%、30%，则显著程度Y=[（感到显著人数×100%+感到明显人数×60%+感到一般人数×30%）/调查问卷回收总数] ×100%。显著程度95%以上（含95%）得满分，每下降1% 扣除指标分值的5%，扣完为止。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D2.可持续影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响</w:t>
            </w: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D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数据共享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用于反映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数据共享程度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。</w:t>
            </w: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达到标准值得满分；未达到标准值,计算方法：(实际数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/计划数)×100%×指标分值。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D3.社会公众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或服务对象满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意度</w:t>
            </w: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D31.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服务对象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满意度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用以反映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服务对象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对项目实施的满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意程度。</w:t>
            </w: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满意度等级从非常满意到非常不满意的权重分别为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100%、80%、60%、30%、0%，则满意度Y=（非常满意数 *100%+比较满意数*80%+一般*60%+较不满意数*30%+非常不满意数*0%）/调查问卷回收总数*100%。 满意度90%以上（含90%）得满分，每下降1%扣除权重的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5%，扣完为止。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  <w:sectPr>
          <w:pgSz w:w="16838" w:h="11906" w:orient="landscape"/>
          <w:pgMar w:top="1531" w:right="1440" w:bottom="1531" w:left="1440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3.评价方法</w:t>
      </w:r>
    </w:p>
    <w:p>
      <w:pPr>
        <w:pStyle w:val="7"/>
        <w:numPr>
          <w:ilvl w:val="0"/>
          <w:numId w:val="0"/>
        </w:numPr>
        <w:rPr>
          <w:rFonts w:hint="default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 xml:space="preserve"> 评价方法主要包括成本效益法、比较法、因素分析法等。根据“政务和公益机构域名注册运行费用及运行维护费用”的具体情况，采用多种方法。</w:t>
      </w:r>
    </w:p>
    <w:p>
      <w:pPr>
        <w:numPr>
          <w:ilvl w:val="0"/>
          <w:numId w:val="0"/>
        </w:numPr>
        <w:ind w:left="640" w:leftChars="0"/>
        <w:jc w:val="left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4.评价标准</w:t>
      </w:r>
    </w:p>
    <w:p>
      <w:pPr>
        <w:pStyle w:val="7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本次绩效评价标准是依据绩效评价基本原理，根据《内蒙古自治区项目支出绩效评价管理办法》，绩效评价结果采取评分和评级相结合的方式，具体分值和等级可根据不同评价内容设定，总分值为100分，绩效评级分优、良、中、差。评分得分高于90分（含90分）的，绩效评级为“优”；得分在80分（含80分）—90分的，绩效评级为“良”；得分在60分（含60分）—80分的，绩效评级为“中”；得分在60分以下的，绩效评级为“差。</w:t>
      </w:r>
    </w:p>
    <w:p>
      <w:pPr>
        <w:ind w:firstLine="643" w:firstLineChars="200"/>
        <w:jc w:val="left"/>
        <w:rPr>
          <w:rFonts w:hint="eastAsia" w:ascii="Arial" w:hAnsi="Arial" w:eastAsia="楷体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楷体" w:cstheme="minorBidi"/>
          <w:b/>
          <w:kern w:val="2"/>
          <w:sz w:val="32"/>
          <w:szCs w:val="24"/>
          <w:lang w:val="en-US" w:eastAsia="zh-CN" w:bidi="ar-SA"/>
        </w:rPr>
        <w:t>（三）绩效评价工作过程</w:t>
      </w:r>
    </w:p>
    <w:p>
      <w:pPr>
        <w:numPr>
          <w:ilvl w:val="0"/>
          <w:numId w:val="0"/>
        </w:numPr>
        <w:ind w:left="640" w:leftChars="0"/>
        <w:jc w:val="left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1.前期准备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（1）成立评价工作组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（2）开展前期调研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（3）明确项目绩效目标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（4）设计绩效评价指标体系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（5）确定绩效评价方法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（6）确定评价范围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ascii="仿宋_GB2312" w:hAnsi="宋体" w:eastAsia="仿宋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2．组织实施</w:t>
      </w:r>
      <w:r>
        <w:rPr>
          <w:rFonts w:ascii="仿宋_GB2312" w:hAnsi="宋体" w:eastAsia="仿宋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 xml:space="preserve">（1）资料收集。对项目实施单位报送的相关资料进行收集梳理，分析核实资料的真实性、完整性和有效性。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（2）资料核查。根据项目实施单位填报的数据，围绕项目立项、资金落实、业务管理、财务管理、项目产出、项目效益等指标，通过查阅相关资料等手段，对项目实施单位数据进行检查和核实。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3．评价分析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 xml:space="preserve">按照市财政局《关于转发自治区财政厅贯彻落实&lt;内蒙古自治区项目支出绩效评价管理办法&gt;的通知》中“项目支出绩效评价报告”参考提纲，认真撰写评价报告。 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4.沟通反馈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人事财务科定期对项目执行情况进行监督，及时掌握项目资金使用进展和绩效完成情况，督促尽快实施。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三、综合评价分析情况及评价结论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2024年“政务和公益机构域名注册运行费用及运行维护费用”项目支出绩效工作基本完成，执行过程中产生了良好的社会效益，达到了预期的绩效目标。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该项目评分结果83.73分，绩效等级为“良”。绩效分值详见表2，指标评分结果见表3。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sectPr>
          <w:pgSz w:w="11906" w:h="16838"/>
          <w:pgMar w:top="1440" w:right="1531" w:bottom="1440" w:left="153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表2：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2024年度“政务和公益机构域名注册运行费用及运行维护费用”</w:t>
      </w:r>
      <w:r>
        <w:rPr>
          <w:rFonts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项目绩效</w:t>
      </w:r>
      <w:r>
        <w:rPr>
          <w:rFonts w:hint="eastAsia" w:ascii="仿宋" w:hAnsi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分值</w:t>
      </w:r>
      <w:r>
        <w:rPr>
          <w:rFonts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汇总表</w:t>
      </w:r>
    </w:p>
    <w:tbl>
      <w:tblPr>
        <w:tblStyle w:val="9"/>
        <w:tblpPr w:leftFromText="180" w:rightFromText="180" w:vertAnchor="text" w:horzAnchor="page" w:tblpX="1134" w:tblpY="139"/>
        <w:tblOverlap w:val="never"/>
        <w:tblW w:w="143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1425"/>
        <w:gridCol w:w="3285"/>
        <w:gridCol w:w="1535"/>
        <w:gridCol w:w="3668"/>
        <w:gridCol w:w="2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指标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决策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过程</w:t>
            </w: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产出</w:t>
            </w:r>
          </w:p>
        </w:tc>
        <w:tc>
          <w:tcPr>
            <w:tcW w:w="3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效益</w:t>
            </w:r>
          </w:p>
        </w:tc>
        <w:tc>
          <w:tcPr>
            <w:tcW w:w="2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权重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3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2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得分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16.5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18.2</w:t>
            </w: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3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26.03</w:t>
            </w:r>
          </w:p>
        </w:tc>
        <w:tc>
          <w:tcPr>
            <w:tcW w:w="2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83.73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5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得分率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97.06%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91%</w:t>
            </w: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71.88%</w:t>
            </w:r>
          </w:p>
        </w:tc>
        <w:tc>
          <w:tcPr>
            <w:tcW w:w="3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83.97%</w:t>
            </w:r>
          </w:p>
        </w:tc>
        <w:tc>
          <w:tcPr>
            <w:tcW w:w="2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83.73%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rPr>
          <w:rFonts w:ascii="仿宋" w:hAnsi="仿宋" w:eastAsia="仿宋" w:cs="仿宋"/>
          <w:b/>
          <w:bCs/>
          <w:color w:val="auto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/>
          <w:lang w:val="en-US" w:eastAsia="zh-CN"/>
        </w:rPr>
      </w:pPr>
      <w:r>
        <w:rPr>
          <w:rFonts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表3：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2024年度“政务和公益机构域名注册运行费用及运行维护费用”</w:t>
      </w:r>
      <w:r>
        <w:rPr>
          <w:rFonts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项目绩效</w:t>
      </w:r>
      <w:r>
        <w:rPr>
          <w:rFonts w:hint="eastAsia" w:ascii="仿宋" w:hAnsi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指标</w:t>
      </w:r>
      <w:r>
        <w:rPr>
          <w:rFonts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评分表</w:t>
      </w:r>
    </w:p>
    <w:tbl>
      <w:tblPr>
        <w:tblStyle w:val="9"/>
        <w:tblW w:w="0" w:type="auto"/>
        <w:tblInd w:w="-3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1432"/>
        <w:gridCol w:w="2274"/>
        <w:gridCol w:w="1436"/>
        <w:gridCol w:w="5318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1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一级指标</w:t>
            </w: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二级指标</w:t>
            </w: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三级指标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指标分值</w:t>
            </w:r>
          </w:p>
        </w:tc>
        <w:tc>
          <w:tcPr>
            <w:tcW w:w="53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评分项目</w:t>
            </w: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实际得分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141" w:type="dxa"/>
            <w:vMerge w:val="restar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项目决策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（17%）</w:t>
            </w:r>
          </w:p>
        </w:tc>
        <w:tc>
          <w:tcPr>
            <w:tcW w:w="143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A1.项目立项</w:t>
            </w:r>
          </w:p>
        </w:tc>
        <w:tc>
          <w:tcPr>
            <w:tcW w:w="227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A11.立项依据充分性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①项目立项是否符合国家法律法规、国民经济发展规划和相关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政策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，得1分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141" w:type="dxa"/>
            <w:vMerge w:val="continue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27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②项目立项是否符合行业发展规划和政策要求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，得1分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141" w:type="dxa"/>
            <w:vMerge w:val="continue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27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③项目立项与部门职责范围是否相符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，得1分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④项目是否符合中央、地方事权支出责任划分原则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，得1分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A12.立项程序规范性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①项目是否按照规定的程序申请设立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，得1分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②审批文件、材料是否符合相关要求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，得1分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③事前是否已经过必要的可行性研究、专家论证、风险评估、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绩效评估、集体决策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，得1分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A2.绩效目标</w:t>
            </w:r>
          </w:p>
        </w:tc>
        <w:tc>
          <w:tcPr>
            <w:tcW w:w="227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A21.绩效目标合理性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0.5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①项目是否有绩效目标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，得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0.5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27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0.5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②项目绩效目标与实际工作内容是否具有相关性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，得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0.5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27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0.5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③项目预期产出效益和效果是否符合正常的业绩水平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，得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0.5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27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0.5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④是否与预算确定的项目投资额或资金量相匹配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，得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0.5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A22.绩效指标明确性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0.5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①是否将项目绩效目标细化分解为具体的绩效指标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，得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0.5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0.5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②是否通过清晰、可衡量的指标值予以体现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，得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0.5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③是否与项目目标任务数或计划数相对应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，得1分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A3.资金投入</w:t>
            </w:r>
          </w:p>
        </w:tc>
        <w:tc>
          <w:tcPr>
            <w:tcW w:w="227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A31.预算编制科学性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①预算编制是否经过科学论证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，得1分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27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②预算内容与项目内容是否匹配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，得1分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27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③预算额度测算依据是否充分，是否按照标准编制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，得1分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27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④预算确定的项目投资额或资金量与工作任务是否相匹配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，得1分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A32.资金分配合理性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①项目预算资金分配依据是否充分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，得1分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②项目资金分配额度是否合理，与项目单位或地方实际是否相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适应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，得1分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B.项目过程</w:t>
            </w:r>
            <w:r>
              <w:rPr>
                <w:rFonts w:hint="eastAsia" w:ascii="仿宋" w:hAnsi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（20%）</w:t>
            </w:r>
          </w:p>
        </w:tc>
        <w:tc>
          <w:tcPr>
            <w:tcW w:w="143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B1.资金管理</w:t>
            </w: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B11.资金到位率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资金到位率=（实际到位资金/年度预算资金）×100%。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实际到位资金：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30.00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万元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年度预算资金：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30.00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资金到位率：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100%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得分：4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B12.预算执行率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预算执行率=（实际支付资金/实际到位资金）×100%。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实际支付资金：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25.68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万元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实际到位资金：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30.00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预算执行率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85.6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%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得分：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B13.资金使用合规性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①是否符合国家财经法规和财务管理制度以及有关专项资金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管理办法的规定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，得1分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②资金的拨付是否有完整的审批程序和手续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，得1分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③是否符合项目预算批复或合同规定的用途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，得1分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④是否存在截留、挤占、挪用、虚列支出等情况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，得1分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B2.组织实施</w:t>
            </w:r>
          </w:p>
        </w:tc>
        <w:tc>
          <w:tcPr>
            <w:tcW w:w="227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B21.管理制度健全性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①是否已制定或具有相应的财务和业务管理制度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，得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27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②财务和业务管理制度是否合法、合规、完整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，得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B22.制度执行有效性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①是否遵守相关法律法规和相关管理规定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，得1分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②项目调整及支出调整手续是否完备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，得1分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③项目合同书、验收报告、技术鉴定、公示等资料是否齐全并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及时归档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，得1分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④项目实施的人员条件、场备、信息支撑等是否落实到位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，得1分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14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C.项目产出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（32%）</w:t>
            </w:r>
          </w:p>
        </w:tc>
        <w:tc>
          <w:tcPr>
            <w:tcW w:w="143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/>
                <w:lang w:val="en-U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C1.数量指标</w:t>
            </w:r>
          </w:p>
          <w:p>
            <w:pPr>
              <w:pStyle w:val="7"/>
              <w:jc w:val="right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机关事业单位域名注册运行管理数量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机关事业单位域名注册运行管理数量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数达到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150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家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，得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采购保密柜数量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采购保密柜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台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，得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购买复印纸数量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5318" w:type="dxa"/>
            <w:vAlign w:val="center"/>
          </w:tcPr>
          <w:p>
            <w:pPr>
              <w:pStyle w:val="7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购买复印纸数量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250包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，得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购买硒鼓墨盒墨粉数量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5318" w:type="dxa"/>
            <w:vAlign w:val="center"/>
          </w:tcPr>
          <w:p>
            <w:pPr>
              <w:pStyle w:val="7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购买硒鼓墨盒墨粉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80支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，得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C1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出差人次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5318" w:type="dxa"/>
            <w:vAlign w:val="center"/>
          </w:tcPr>
          <w:p>
            <w:pPr>
              <w:pStyle w:val="7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出差人次达到5次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，得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C2.时效指标</w:t>
            </w: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网络故障修复响应时间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网络故障修复平均响应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时间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4小时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按计划完成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得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未按计划完成</w:t>
            </w:r>
            <w:r>
              <w:rPr>
                <w:rFonts w:hint="default" w:ascii="Wingdings 2" w:hAnsi="Wingdings 2" w:eastAsia="Wingdings 2" w:cs="Wingdings 2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缴纳域名注册费及时性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5318" w:type="dxa"/>
            <w:vAlign w:val="center"/>
          </w:tcPr>
          <w:p>
            <w:pPr>
              <w:pStyle w:val="7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缴纳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150家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机关事业单位域名注册费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按计划完成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，得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分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未按计划完成</w:t>
            </w:r>
            <w:r>
              <w:rPr>
                <w:rFonts w:hint="default" w:ascii="Wingdings 2" w:hAnsi="Wingdings 2" w:eastAsia="Wingdings 2" w:cs="Wingdings 2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C3.质量指标</w:t>
            </w: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31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设备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验收合格率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5318" w:type="dxa"/>
            <w:vAlign w:val="center"/>
          </w:tcPr>
          <w:p>
            <w:pPr>
              <w:pStyle w:val="7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验收合格率达到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%，验收报告中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具有验收人签字并盖章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，得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分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门户网站故障率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5318" w:type="dxa"/>
            <w:vAlign w:val="center"/>
          </w:tcPr>
          <w:p>
            <w:pPr>
              <w:pStyle w:val="7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门户网站故障率不高于5%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，得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电子政务域名注册覆盖率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5318" w:type="dxa"/>
            <w:vAlign w:val="center"/>
          </w:tcPr>
          <w:p>
            <w:pPr>
              <w:pStyle w:val="7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电子政务域名注册覆盖率达到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98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%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，得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C4.成本指标</w:t>
            </w: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C41.成本控制率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成本控制率达到标准值100%，未超年度预算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，得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D.项目效果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（31%）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D1.社会效益</w:t>
            </w: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D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1.通过项目规范管理，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提升全市政务和公益中文域名注册管理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水平。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5318" w:type="dxa"/>
            <w:vAlign w:val="center"/>
          </w:tcPr>
          <w:p>
            <w:pPr>
              <w:pStyle w:val="7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显著程度Y=[（感到显著人数×100%+感到明显人数×60%+感到 一般人数×30%）/调查问卷回收总数]×100% </w:t>
            </w:r>
          </w:p>
          <w:p>
            <w:pPr>
              <w:pStyle w:val="7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感到显著的人数：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37人</w:t>
            </w:r>
          </w:p>
          <w:p>
            <w:pPr>
              <w:pStyle w:val="7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感到明显的人数：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人</w:t>
            </w:r>
          </w:p>
          <w:p>
            <w:pPr>
              <w:pStyle w:val="7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感到一般的人数：0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人</w:t>
            </w:r>
          </w:p>
          <w:p>
            <w:pPr>
              <w:pStyle w:val="7"/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调查问卷总数：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53人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影响程度：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87.9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%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得分：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9.03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D2.可持续影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响</w:t>
            </w: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D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域名网站正常运行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保障缴费全市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150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家域名网站正常运行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，得7分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default" w:ascii="Wingdings 2" w:hAnsi="Wingdings 2" w:eastAsia="Wingdings 2" w:cs="Wingdings 2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D3.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服务对象满意度</w:t>
            </w: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D31.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服务对象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满意度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满意度Y=（非常满意数*100%+比较满意数*80%+一般*60%+较不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满意数*30%+非常不满意数*0%）/调查问卷回收总数*100%。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感到非常满意的人数：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39人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感到比较满意的人数：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13人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感到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一般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的人数：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感到较不满意的人数：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感到非常不满意的人数： 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调查问卷总数：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53人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满意度：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%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得分：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  <w:p>
            <w:pPr>
              <w:pStyle w:val="7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545"/>
        </w:tabs>
        <w:bidi w:val="0"/>
        <w:jc w:val="left"/>
        <w:rPr>
          <w:rFonts w:hint="eastAsia"/>
          <w:lang w:val="en-US" w:eastAsia="zh-CN"/>
        </w:rPr>
        <w:sectPr>
          <w:pgSz w:w="16838" w:h="11906" w:orient="landscape"/>
          <w:pgMar w:top="1531" w:right="1440" w:bottom="1531" w:left="1440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ind w:firstLine="640" w:firstLineChars="200"/>
        <w:jc w:val="left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四、绩效评价指标分析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3" w:firstLineChars="200"/>
        <w:textAlignment w:val="auto"/>
        <w:rPr>
          <w:rFonts w:hint="eastAsia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（一）项目决策情况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1．项目立项分析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2024年度“政务和公益机构域名注册运行费用及运行维护费用”项目立项符合中央、地方事权支出责任划分原则，且与部门职责范围相符。项目按照规定的程序申请设立，审批文件、材料符合相关要求。项目立项有事前必要的集体决策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2.绩效目标分析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项目预算申报时，对该项目进行绩效目标的编制，有项目预算绩效目标申报表，项目绩效目标与实际工作内容具有相关性，项目预期产出效益和效果符合正常的业绩水平，与预算确定的项目投资额或资金量相匹配，将项目绩效目标细化分解为具体的绩效指标，与项目目标任务数或计划数相对应。但未通过清晰、可衡量的指标值予以体现，根据评分标准，扣除0.5分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 xml:space="preserve">3.资金投入分析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预算内容与项目内容相匹配，项目预算资金分配依据充分，项目资金分配额度合理，与单位实际相适应，预算编制经过科学论证，预算额度测算依据充分。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综上，项目产出指标中的部分指标未达到预期管控目标，按照评分标准扣除共计0.5分。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3" w:firstLineChars="200"/>
        <w:textAlignment w:val="auto"/>
        <w:rPr>
          <w:rFonts w:hint="eastAsia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（二）项目过程情况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 xml:space="preserve">1．资金管理情况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2024 年市财政局通过预算一体化系统对我部门下达“政务和公益机构域名注册运行费用及运行维护费用项目”30万元，资金及时到位，到位率100%。 该项目资金实行专款专用，资金使用规范，严格执行相关财务管理制度，资金拨付严格按照财务审批程序进行，会计核算结果真实、准确，不存在截留、挤占、挪用、虚列支出等情况。但预算执行率仅85.6%，扣1.8分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 xml:space="preserve">2．组织实施情况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单位对该项目管理工作进行详细安排部署，具体由综合科负责日常运转工作，由人事财务科、呼和浩特市政务和公益机构域名注册中心负责组织、协调、实施项目管理业务。制度执行有效性方面经核查未发现不符合现象，遵守相关法律法规和相关管理规定，管理制度健全性方面有相关财务管理制度，相关管理制度可继续更新优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综上，项目过程情况的部分指标未达到预期管控目标，按照评分标准扣除共计1.8分。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3" w:firstLineChars="200"/>
        <w:textAlignment w:val="auto"/>
        <w:rPr>
          <w:rFonts w:hint="eastAsia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（三）项目产出情况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 xml:space="preserve">数量目标：机关事业单位域名注册运行管理数量达到150家；采购保密柜1个；购买复印纸250包；出差人次达到7次；购买硒鼓墨盒墨粉未达到80支，扣除3分。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时效目标：网络故障修复平均响应时间小于4小时；未缴纳够150家机关事业单位域名注册费，扣除4分。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质量目标：设备验收合格率达到100%，验收报告中有验收人签字并盖章；门户网站故障率不高于5%；电子政务域名注册覆盖率未达到98%，扣除2分。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成本指标：成本控制率等于100%。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综上，项目产出指标中的部分指标未达到预期管控目标，按照评分标准扣除共计9分。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3" w:firstLineChars="200"/>
        <w:textAlignment w:val="auto"/>
        <w:rPr>
          <w:rFonts w:hint="eastAsia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（四）项目效益情况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社会效益：通过项目规范管理，提升全市政务和公益中文域名注册管理水平，通过对53人的问卷调查，37人感到显著，16人感到明显，影响程度为87.9%，按照评分标准扣除4.97分。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可持续影响指标：域名网站正常运行。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服务对象满意度：服务对象满意度达到94%，达到了满意度指标的预期目标，未产生扣分项。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综上，项目效益指标中的部分指标未达到预期管控目标，按照评分标准扣除共计4.97分。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五、主要经验及做法、存在的问题及原因分析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宋体" w:eastAsia="仿宋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Arial" w:hAnsi="Arial"/>
          <w:b/>
          <w:lang w:val="en-US" w:eastAsia="zh-CN"/>
        </w:rPr>
        <w:t>（一）主要经验及做法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一是精心组织，密切配合。市委编办充分发挥预算绩效管理作用，理顺工作机制，制定具体措施，形成工作合力，切实做好本部门的预算绩效评价工作。明确各科室、中心责任，确定专人，将项目绩效运行工作责任落到实处。在具体工作中，做到各相关预算科室、中心的沟通、协调和联系，共同配合，促进绩效评价工作的规范、有序、顺利开展。二是积极工作，稳步推进。相关预算科室、中心都能认真对待，积极探索建立适合本部门实际的绩效评价方法，认真做好绩效评价工作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宋体" w:eastAsia="仿宋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Arial" w:hAnsi="Arial"/>
          <w:b/>
          <w:lang w:val="en-US" w:eastAsia="zh-CN"/>
        </w:rPr>
        <w:t>（二）存在的问题及原因分析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1.预算绩效管理工作有待加强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预算绩效管理工作缺乏绩效目标管理、绩效运行监控管理、绩效评价管理、绩效评价结果应用管理等全过程绩效管理机制。绩效目标申报编制不够规范，指标之间关联性较差。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原因分析：预算绩效管理工作尚在摸索阶段，还未形成全过程绩效管理机制。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2.预算测算依据不充分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在预算编制时，存在缺失预算资金测算依据，这既不利于有效进行项目成本控制，也给项目审核人员带来不便，无法清晰衡量项目内容与预算金额之间是否匹配，所列预算额是否合理科学。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原因分析：本部门项目经费主要用于保障部门更好履行职能职责，许多工作任务在预算编制时无法预测。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六、有关建议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（一）建立“预算决策有评估、预算编制有目标、预算执行有监控、预算完成有评价、评价结果有反馈、反馈结果有应用” 的全过程预算绩效管理机制。形成以绩效为核心的制度体系和资金管理机制。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（二）加强业务培训，组织相关人员学习交流以拓展工作思路，落实好责任分工，定期监督完成情况，加强与项目具体实施科室和其他科室的沟通，加强项目支出绩效运行监控，加快项目资金使用进度，提高项目资金的使用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 xml:space="preserve">（三）为了更好地统筹安排好全年的资金，应做到早谋划、早安排。建议在今后的项目实施过程中，多结合实际监管难点和以往较突出的问题，合理制定工作方案，提高工作的针对性和有效性。 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七、其他需要说明的问题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一是绩效评价采取的方法存在不同的局限性，可能导致绩效评价结果存在差异。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二是绩效评价人员的专业能力存在的差异，及业务岗位人员提供数据等的准确性，可能导致绩效评价结果的误判或措施的误解。</w:t>
      </w:r>
    </w:p>
    <w:p>
      <w:pPr>
        <w:jc w:val="left"/>
        <w:rPr>
          <w:rFonts w:hint="eastAsia" w:ascii="黑体" w:hAnsi="黑体" w:eastAsia="仿宋" w:cs="黑体"/>
          <w:sz w:val="32"/>
          <w:szCs w:val="40"/>
          <w:lang w:val="en-US" w:eastAsia="zh-CN"/>
        </w:rPr>
      </w:pPr>
    </w:p>
    <w:p>
      <w:pPr>
        <w:jc w:val="left"/>
        <w:rPr>
          <w:rFonts w:hint="eastAsia" w:ascii="黑体" w:hAnsi="黑体" w:eastAsia="仿宋" w:cs="黑体"/>
          <w:sz w:val="32"/>
          <w:szCs w:val="40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eastAsia" w:ascii="黑体" w:hAnsi="黑体" w:eastAsia="仿宋" w:cs="黑体"/>
          <w:sz w:val="32"/>
          <w:szCs w:val="40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620" w:firstLineChars="200"/>
        <w:jc w:val="center"/>
        <w:rPr>
          <w:rFonts w:hint="default" w:ascii="仿宋_GB2312" w:hAnsi="宋体" w:eastAsia="仿宋" w:cs="仿宋_GB2312"/>
          <w:color w:val="000000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531" w:bottom="1440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44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4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NjdkMTQxZThiZGM5OGY1MTNkZjZjYWU4NmE5NzUifQ=="/>
  </w:docVars>
  <w:rsids>
    <w:rsidRoot w:val="00000000"/>
    <w:rsid w:val="021A2C80"/>
    <w:rsid w:val="03243133"/>
    <w:rsid w:val="037357E9"/>
    <w:rsid w:val="03911568"/>
    <w:rsid w:val="04EB6322"/>
    <w:rsid w:val="050126C3"/>
    <w:rsid w:val="051524CD"/>
    <w:rsid w:val="055F62E0"/>
    <w:rsid w:val="05BB5375"/>
    <w:rsid w:val="06131002"/>
    <w:rsid w:val="061A40F4"/>
    <w:rsid w:val="063B7194"/>
    <w:rsid w:val="063C07BB"/>
    <w:rsid w:val="06651661"/>
    <w:rsid w:val="06BA74FF"/>
    <w:rsid w:val="06C963C8"/>
    <w:rsid w:val="07BF4B46"/>
    <w:rsid w:val="07D459E5"/>
    <w:rsid w:val="07FE2B6F"/>
    <w:rsid w:val="083F1086"/>
    <w:rsid w:val="08A54D99"/>
    <w:rsid w:val="08B910B3"/>
    <w:rsid w:val="091A7535"/>
    <w:rsid w:val="093E2A38"/>
    <w:rsid w:val="098205E2"/>
    <w:rsid w:val="09C25210"/>
    <w:rsid w:val="09ED1D08"/>
    <w:rsid w:val="0A9A7472"/>
    <w:rsid w:val="0AA750DD"/>
    <w:rsid w:val="0AFC3C93"/>
    <w:rsid w:val="0CC56B02"/>
    <w:rsid w:val="0D737F1F"/>
    <w:rsid w:val="0DB85751"/>
    <w:rsid w:val="0DCA63AF"/>
    <w:rsid w:val="0DCF2082"/>
    <w:rsid w:val="0DF814C0"/>
    <w:rsid w:val="0EE13E99"/>
    <w:rsid w:val="0EEF0710"/>
    <w:rsid w:val="0F2B146F"/>
    <w:rsid w:val="0F3A58B2"/>
    <w:rsid w:val="0F5613B9"/>
    <w:rsid w:val="0FA97864"/>
    <w:rsid w:val="0FD0094D"/>
    <w:rsid w:val="10196798"/>
    <w:rsid w:val="10EA3E68"/>
    <w:rsid w:val="1125116C"/>
    <w:rsid w:val="11B45640"/>
    <w:rsid w:val="11B756A0"/>
    <w:rsid w:val="12AF063A"/>
    <w:rsid w:val="12DF0704"/>
    <w:rsid w:val="12E85A12"/>
    <w:rsid w:val="130C4227"/>
    <w:rsid w:val="13640F25"/>
    <w:rsid w:val="138F2417"/>
    <w:rsid w:val="152B28F5"/>
    <w:rsid w:val="154E07F3"/>
    <w:rsid w:val="15570B09"/>
    <w:rsid w:val="15A238DE"/>
    <w:rsid w:val="161C7AD3"/>
    <w:rsid w:val="1649511F"/>
    <w:rsid w:val="164D07AD"/>
    <w:rsid w:val="16851D81"/>
    <w:rsid w:val="16A20DE1"/>
    <w:rsid w:val="16EB272A"/>
    <w:rsid w:val="17630FAE"/>
    <w:rsid w:val="17877C80"/>
    <w:rsid w:val="17E02C37"/>
    <w:rsid w:val="180B26C9"/>
    <w:rsid w:val="18105490"/>
    <w:rsid w:val="182F4FDC"/>
    <w:rsid w:val="184843C1"/>
    <w:rsid w:val="18AE7E0C"/>
    <w:rsid w:val="19823668"/>
    <w:rsid w:val="19A355DE"/>
    <w:rsid w:val="19BC2960"/>
    <w:rsid w:val="1A092647"/>
    <w:rsid w:val="1A33348C"/>
    <w:rsid w:val="1A734CF7"/>
    <w:rsid w:val="1AC629FA"/>
    <w:rsid w:val="1B590390"/>
    <w:rsid w:val="1C256429"/>
    <w:rsid w:val="1CEE3304"/>
    <w:rsid w:val="1D721295"/>
    <w:rsid w:val="1E16772B"/>
    <w:rsid w:val="1E36026B"/>
    <w:rsid w:val="1E6E48D4"/>
    <w:rsid w:val="1E9B6843"/>
    <w:rsid w:val="1EE22D83"/>
    <w:rsid w:val="1F061775"/>
    <w:rsid w:val="205821CB"/>
    <w:rsid w:val="20610BF9"/>
    <w:rsid w:val="208F37FB"/>
    <w:rsid w:val="20FD5A0E"/>
    <w:rsid w:val="210E39CB"/>
    <w:rsid w:val="213D6E16"/>
    <w:rsid w:val="21BA5743"/>
    <w:rsid w:val="22384AB0"/>
    <w:rsid w:val="22B6537E"/>
    <w:rsid w:val="22C71A27"/>
    <w:rsid w:val="22E84AFC"/>
    <w:rsid w:val="241C0E85"/>
    <w:rsid w:val="24BE780F"/>
    <w:rsid w:val="24C37CDE"/>
    <w:rsid w:val="24F97A0F"/>
    <w:rsid w:val="25776207"/>
    <w:rsid w:val="25DE362C"/>
    <w:rsid w:val="261251A5"/>
    <w:rsid w:val="266F679F"/>
    <w:rsid w:val="268279BE"/>
    <w:rsid w:val="275D4D64"/>
    <w:rsid w:val="27870CB7"/>
    <w:rsid w:val="28732366"/>
    <w:rsid w:val="28CF5E9C"/>
    <w:rsid w:val="291D29FD"/>
    <w:rsid w:val="29476762"/>
    <w:rsid w:val="29D26AAF"/>
    <w:rsid w:val="2A290739"/>
    <w:rsid w:val="2AA45E84"/>
    <w:rsid w:val="2AE930F5"/>
    <w:rsid w:val="2B854BE7"/>
    <w:rsid w:val="2B987A16"/>
    <w:rsid w:val="2BA769AB"/>
    <w:rsid w:val="2C0B1233"/>
    <w:rsid w:val="2CAD0457"/>
    <w:rsid w:val="2D3319B5"/>
    <w:rsid w:val="2D690695"/>
    <w:rsid w:val="2DB85492"/>
    <w:rsid w:val="2E1732AD"/>
    <w:rsid w:val="2EF03695"/>
    <w:rsid w:val="2EFC6A22"/>
    <w:rsid w:val="2F416D1A"/>
    <w:rsid w:val="2F8A538D"/>
    <w:rsid w:val="2F990904"/>
    <w:rsid w:val="2FB461D1"/>
    <w:rsid w:val="2FEC1BAE"/>
    <w:rsid w:val="31280191"/>
    <w:rsid w:val="31A359FC"/>
    <w:rsid w:val="31A6463B"/>
    <w:rsid w:val="31B90BBD"/>
    <w:rsid w:val="320D410A"/>
    <w:rsid w:val="324134DA"/>
    <w:rsid w:val="332C1A8F"/>
    <w:rsid w:val="33306488"/>
    <w:rsid w:val="33C71048"/>
    <w:rsid w:val="3425351D"/>
    <w:rsid w:val="344F3C87"/>
    <w:rsid w:val="348A543F"/>
    <w:rsid w:val="34B56DE9"/>
    <w:rsid w:val="34F2196C"/>
    <w:rsid w:val="355D3219"/>
    <w:rsid w:val="36653C36"/>
    <w:rsid w:val="375223CF"/>
    <w:rsid w:val="376513F0"/>
    <w:rsid w:val="376712E7"/>
    <w:rsid w:val="378C12B0"/>
    <w:rsid w:val="380534F8"/>
    <w:rsid w:val="38D86053"/>
    <w:rsid w:val="38F2730A"/>
    <w:rsid w:val="3969753C"/>
    <w:rsid w:val="397E74E1"/>
    <w:rsid w:val="3BD479B6"/>
    <w:rsid w:val="3CE242F0"/>
    <w:rsid w:val="3CF62F90"/>
    <w:rsid w:val="3D793569"/>
    <w:rsid w:val="3D7A6218"/>
    <w:rsid w:val="3DAB75BC"/>
    <w:rsid w:val="3DB47ECB"/>
    <w:rsid w:val="3DF03B89"/>
    <w:rsid w:val="3E4B3466"/>
    <w:rsid w:val="3E943D08"/>
    <w:rsid w:val="3EA13331"/>
    <w:rsid w:val="3EEC299B"/>
    <w:rsid w:val="3FA34FB6"/>
    <w:rsid w:val="3FAF5707"/>
    <w:rsid w:val="3FE93B66"/>
    <w:rsid w:val="3FFD4647"/>
    <w:rsid w:val="403B5BB6"/>
    <w:rsid w:val="4058011F"/>
    <w:rsid w:val="408F05F9"/>
    <w:rsid w:val="40C06849"/>
    <w:rsid w:val="40E65973"/>
    <w:rsid w:val="411F7EE8"/>
    <w:rsid w:val="415A31C5"/>
    <w:rsid w:val="416937DF"/>
    <w:rsid w:val="41C5321A"/>
    <w:rsid w:val="42267415"/>
    <w:rsid w:val="43231840"/>
    <w:rsid w:val="43536B83"/>
    <w:rsid w:val="4412057F"/>
    <w:rsid w:val="44A92F3F"/>
    <w:rsid w:val="44DD564F"/>
    <w:rsid w:val="450C21AB"/>
    <w:rsid w:val="452F53D1"/>
    <w:rsid w:val="45DD7344"/>
    <w:rsid w:val="46310686"/>
    <w:rsid w:val="46AB11D8"/>
    <w:rsid w:val="46C50728"/>
    <w:rsid w:val="46E74160"/>
    <w:rsid w:val="47EF7803"/>
    <w:rsid w:val="480F6A5D"/>
    <w:rsid w:val="489C032E"/>
    <w:rsid w:val="48DE4B3F"/>
    <w:rsid w:val="48F103FE"/>
    <w:rsid w:val="4A06099E"/>
    <w:rsid w:val="4A327B96"/>
    <w:rsid w:val="4AB60164"/>
    <w:rsid w:val="4B35405C"/>
    <w:rsid w:val="4D0933F1"/>
    <w:rsid w:val="4D655D09"/>
    <w:rsid w:val="4D7F46B4"/>
    <w:rsid w:val="4D804334"/>
    <w:rsid w:val="4E4A12EF"/>
    <w:rsid w:val="4E916F1E"/>
    <w:rsid w:val="4ECF6734"/>
    <w:rsid w:val="4EFE2B32"/>
    <w:rsid w:val="4FE46C68"/>
    <w:rsid w:val="505D707A"/>
    <w:rsid w:val="517A073C"/>
    <w:rsid w:val="51B00E20"/>
    <w:rsid w:val="52DC5818"/>
    <w:rsid w:val="52E57838"/>
    <w:rsid w:val="52FF1038"/>
    <w:rsid w:val="53261C5F"/>
    <w:rsid w:val="53275E79"/>
    <w:rsid w:val="537539FA"/>
    <w:rsid w:val="539A6867"/>
    <w:rsid w:val="53E22653"/>
    <w:rsid w:val="53FE2C5D"/>
    <w:rsid w:val="54075AA2"/>
    <w:rsid w:val="54A92AE8"/>
    <w:rsid w:val="54D73556"/>
    <w:rsid w:val="5523571E"/>
    <w:rsid w:val="553D758D"/>
    <w:rsid w:val="55A0308A"/>
    <w:rsid w:val="55B54A38"/>
    <w:rsid w:val="55DD0C9B"/>
    <w:rsid w:val="56062A2F"/>
    <w:rsid w:val="56622B08"/>
    <w:rsid w:val="56694CD1"/>
    <w:rsid w:val="56DA628A"/>
    <w:rsid w:val="56DC71A4"/>
    <w:rsid w:val="578641A4"/>
    <w:rsid w:val="57DC45AE"/>
    <w:rsid w:val="59841A6C"/>
    <w:rsid w:val="598E457A"/>
    <w:rsid w:val="59A85123"/>
    <w:rsid w:val="5A3D7F5A"/>
    <w:rsid w:val="5AA5612C"/>
    <w:rsid w:val="5AE625AD"/>
    <w:rsid w:val="5B0D3AF1"/>
    <w:rsid w:val="5B1A2E07"/>
    <w:rsid w:val="5B9104C7"/>
    <w:rsid w:val="5D2D1CA2"/>
    <w:rsid w:val="5D8F250B"/>
    <w:rsid w:val="5D9A631E"/>
    <w:rsid w:val="5DA311AC"/>
    <w:rsid w:val="5DF744B9"/>
    <w:rsid w:val="5E425832"/>
    <w:rsid w:val="5E695BAD"/>
    <w:rsid w:val="5FA863FE"/>
    <w:rsid w:val="601D2E7A"/>
    <w:rsid w:val="6057032F"/>
    <w:rsid w:val="60F94AA6"/>
    <w:rsid w:val="611C0F65"/>
    <w:rsid w:val="629E7A04"/>
    <w:rsid w:val="630C7063"/>
    <w:rsid w:val="631303F2"/>
    <w:rsid w:val="63334B4A"/>
    <w:rsid w:val="643D6E01"/>
    <w:rsid w:val="65834F1A"/>
    <w:rsid w:val="65F40580"/>
    <w:rsid w:val="6689195E"/>
    <w:rsid w:val="67533AB2"/>
    <w:rsid w:val="679A7B08"/>
    <w:rsid w:val="67E97887"/>
    <w:rsid w:val="687A6795"/>
    <w:rsid w:val="688D0395"/>
    <w:rsid w:val="6942558D"/>
    <w:rsid w:val="69FC320B"/>
    <w:rsid w:val="6A294057"/>
    <w:rsid w:val="6A4A3B6E"/>
    <w:rsid w:val="6A55309E"/>
    <w:rsid w:val="6AA7570E"/>
    <w:rsid w:val="6AD121FC"/>
    <w:rsid w:val="6B1F06CE"/>
    <w:rsid w:val="6B34156D"/>
    <w:rsid w:val="6B747DD8"/>
    <w:rsid w:val="6B8A0FFB"/>
    <w:rsid w:val="6B932C0C"/>
    <w:rsid w:val="6B9B2216"/>
    <w:rsid w:val="6BC12456"/>
    <w:rsid w:val="6C186A79"/>
    <w:rsid w:val="6C6860E7"/>
    <w:rsid w:val="6CD96208"/>
    <w:rsid w:val="6E7C1237"/>
    <w:rsid w:val="6F154FCA"/>
    <w:rsid w:val="6F887A72"/>
    <w:rsid w:val="6F925BC6"/>
    <w:rsid w:val="6FA5276A"/>
    <w:rsid w:val="6FD74B0A"/>
    <w:rsid w:val="704219F2"/>
    <w:rsid w:val="707C61FD"/>
    <w:rsid w:val="70AB03C7"/>
    <w:rsid w:val="70C9549D"/>
    <w:rsid w:val="70D72228"/>
    <w:rsid w:val="70DA5631"/>
    <w:rsid w:val="70E62CA2"/>
    <w:rsid w:val="710F0089"/>
    <w:rsid w:val="71637B14"/>
    <w:rsid w:val="716A0E2B"/>
    <w:rsid w:val="71A12E7C"/>
    <w:rsid w:val="723A7B77"/>
    <w:rsid w:val="724E32FC"/>
    <w:rsid w:val="726376B6"/>
    <w:rsid w:val="72AE77EF"/>
    <w:rsid w:val="72C806E0"/>
    <w:rsid w:val="72CB63B8"/>
    <w:rsid w:val="72FC1E33"/>
    <w:rsid w:val="72FE5523"/>
    <w:rsid w:val="7306762B"/>
    <w:rsid w:val="730E1E7E"/>
    <w:rsid w:val="73326672"/>
    <w:rsid w:val="74923DD8"/>
    <w:rsid w:val="74CD5CE4"/>
    <w:rsid w:val="7512151E"/>
    <w:rsid w:val="752714C3"/>
    <w:rsid w:val="753A180E"/>
    <w:rsid w:val="760268A8"/>
    <w:rsid w:val="7733029F"/>
    <w:rsid w:val="776747E6"/>
    <w:rsid w:val="7777494C"/>
    <w:rsid w:val="77B10B6D"/>
    <w:rsid w:val="789E74F1"/>
    <w:rsid w:val="78A477E3"/>
    <w:rsid w:val="78D15FE5"/>
    <w:rsid w:val="79205E80"/>
    <w:rsid w:val="7969598C"/>
    <w:rsid w:val="797D0E35"/>
    <w:rsid w:val="79944586"/>
    <w:rsid w:val="7999518A"/>
    <w:rsid w:val="79A74F98"/>
    <w:rsid w:val="7A0138B5"/>
    <w:rsid w:val="7AA86946"/>
    <w:rsid w:val="7AED3794"/>
    <w:rsid w:val="7B2307D4"/>
    <w:rsid w:val="7B5E7074"/>
    <w:rsid w:val="7B8F5645"/>
    <w:rsid w:val="7BDD53C4"/>
    <w:rsid w:val="7BF75F6E"/>
    <w:rsid w:val="7C52481B"/>
    <w:rsid w:val="7C902C69"/>
    <w:rsid w:val="7CC059B7"/>
    <w:rsid w:val="7CE16A13"/>
    <w:rsid w:val="7E0A7F58"/>
    <w:rsid w:val="7E4029B0"/>
    <w:rsid w:val="7E6478FC"/>
    <w:rsid w:val="7E6924EF"/>
    <w:rsid w:val="7E725FF8"/>
    <w:rsid w:val="7E862216"/>
    <w:rsid w:val="7E94162E"/>
    <w:rsid w:val="7F7054B8"/>
    <w:rsid w:val="7F7C54A7"/>
    <w:rsid w:val="7FB8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_GBK"/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"/>
      <w:b/>
      <w:sz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qFormat/>
    <w:uiPriority w:val="0"/>
    <w:pPr>
      <w:ind w:firstLine="420" w:firstLineChars="200"/>
    </w:pPr>
    <w:rPr>
      <w:rFonts w:eastAsia="宋体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1852</Words>
  <Characters>1935</Characters>
  <Lines>0</Lines>
  <Paragraphs>0</Paragraphs>
  <TotalTime>6</TotalTime>
  <ScaleCrop>false</ScaleCrop>
  <LinksUpToDate>false</LinksUpToDate>
  <CharactersWithSpaces>1938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2025-02-27T02:03:00Z</dcterms:created>
  <dc:creator>Administrator</dc:creator>
  <cp:lastModifiedBy>MYJ</cp:lastModifiedBy>
  <cp:lastPrinted>2025-03-27T01:36:00Z</cp:lastPrinted>
  <dcterms:modified xsi:type="dcterms:W3CDTF">2025-09-25T07:10:18Z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TemplateDocerSaveRecord">
    <vt:lpwstr>eyJoZGlkIjoiNGM5NmY3Y2M0OGZiNjlmYmM1MTUwNGQ3NGIxMzk1MDciLCJ1c2VySWQiOiI4MzkwOTUzNDAifQ==</vt:lpwstr>
  </property>
  <property fmtid="{D5CDD505-2E9C-101B-9397-08002B2CF9AE}" pid="4" name="ICV">
    <vt:lpwstr>7BECD5A2D6C74624A9A56BF30F07BBCE_12</vt:lpwstr>
  </property>
</Properties>
</file>