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4"/>
          <w:b/>
          <w:bCs/>
          <w:sz w:val="30"/>
          <w:szCs w:val="30"/>
          <w:lang w:val="en-US"/>
        </w:rPr>
        <w:t>12150124E35217885T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4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清水河县拥军优属拥政爱民服务中心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清水河县拥军优属拥政爱民服务中心（清水河县光荣院）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贯彻落实拥军优属和拥政爱民工作政策，并会同军地有关部门抓好落实；协调军政军民关系的重要问题。集中供养全县范围内的优抚对象。面向其他抚恤优待对象开展优待服务。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清水河县城关镇神池窑村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苏日娜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21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清水河县拥军优属拥政爱民服务中心.公益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一、加强组织领导，强化双拥工作责任落实 清水河县委、政府高度重视双拥工作，把双拥工作作为一项重要工作来抓。成立由县委书记任组长的双拥工作领导小组，加强对全县双拥工作的统一管理；召开退役军人事务工作领导小组暨双拥工作领导小组会议2次，党委议军会议2次，军地联席会议1次，及时研究分析新时期退役军人事务工作面临的新情况、新问题。制定下发了《县委退役军人事务工作领导小组2023年工作要点》《清水河县2023年双拥工作要点》，具体安排部署阶段性退役军人事务工作任务，明确了任务目标，压实了工作责任。在8个乡镇、30多个单位建立双拥工作机构，实行军地合署办公，设立专职联络员，明确职能任务，细化职责分工，确保全县双拥工作组织精炼、分布合理，推动双拥工作制度化、规范化发展。 二、强化宣传，不断营造双拥工作良好氛围 我县始终坚持把加强宣传教育作为双拥工作的一项重要内容来抓、运用形式多样的方式开展宣传教育，弘扬爱国主义精神，增强国防观念，广泛深入宣传我县双拥工作好的做法，使双拥工作深入民心，从而不断提高广大群众拥军爱国的自觉性。充分利用广播、电视台等新闻媒体作用进行双拥工作宣传报道，按照彰显荣誉、规范有序原则，多角度、多层次、多形式地宣传我县双拥工作中的先进典型，2023年我县共评选出12名县级“最美退役军人”并进行了隆重表彰，我局积极向上级推荐，完成全市“最美退役军人推荐”工作，我县推荐郭侟伟同志完成市级评选。投资27万元新建双拥宣传街和双拥主题公园，制作了拥军精神堡垒、十大英模宣传牌、红色主题文化牌；目前，已经建成的红色阵地有“7个1”（1处红色文化教育基地，1处双拥广场，1座国防教育基地，1座双拥主题公园，1条双拥街，1条双拥路，1所光荣院）和“2+6”（2处烈士纪念广场、6座烈士纪念碑）。 在209国道的护坡石墙和道旗上布设了醒目的国防教育宣传标语，依托我县第一中学与海军呼和浩特161舰的结对帮扶平台，将其打造成青少年国防教育基地。使其成为传播国防知识、弘扬爱国主义精神的有效载体。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苏日娜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13848172025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2024年04月05日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965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2024-04-09T09:07:43Z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5FC91E0F11B34234AB057F8A68E08F87_13</vt:lpwstr>
  </property>
</Properties>
</file>