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6"/>
          <w:b/>
          <w:bCs/>
          <w:sz w:val="30"/>
          <w:szCs w:val="30"/>
          <w:lang w:val="en-US"/>
        </w:rPr>
        <w:t>12150124MB1E7889X2</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6"/>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清水河县融媒体中心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清水河县融媒体中心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一）认真贯彻执行党和国家有关新闻宣传工作、广播电视工作的方针、政策和法律、法规，充分发挥党和政府的喉舌作用、联系人民群众的桥梁和纽带作用，为清水河县经济高质量发展服务。（二）坚持正确的舆论导向和创作导向，开展好重大活动和重大事件的宣传报道，全面、准确、及时宣传党的路线、方针、政策，发挥清水河县融媒体中心“主流舆论阵地、综合服务平台和社区信息枢纽”三大功能。（三）负责广播电视、“两微一端”等传统媒体和新媒体新闻信息和各类节目的作品创作与生产并安全播出，承担全县重要会议和重大活动的现场直播、录播工作。（四）负责地面数字无线广播电视发射、村村响和户户通运维工作。 （五）负责广播电视高新技术的应用和“两微一端”等新兴媒体的开发、推广和管理，按照“媒体+政务+服务”服务功能要求，承担各新媒体平台和客户端的建设、维护、运营工作;承担与自治区融媒体平台的对接、维护、指令执行等互通互联工作。（六）承担新闻档案(包括视频、音频、文字、图片等新闻资料)的收集、整理、留存工作。（七）完成县委、县政府交办的其他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清水河县城关镇永安东街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王爱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520</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中共清水河县委员会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226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清水河县融媒体中心.公益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1.深度推进媒体融合发展 县融媒体中心全面落实“一次采集、多元生成”工作要求，统筹传统媒体和新媒体平台深度融合。2023年，广播电视台共播出《新闻联播》160余期，各新媒体平台发布稿件共计23000余条次，总浏览量达1亿+，粉丝总数达19.4万余人。“活力清水河”微信公众号、“清水河宣传”微博、“活力清水河”抖音号在全区103个旗县区融媒体以及部分行业媒体平台排名中长期位于第一梯队。年内完成自主直播15场，宣传报道大型活动20多场，新建240平米综合演播厅。在工作中严格实行“三审”制度，年内未发生播出安全事故。 2.围绕中心服务大局 年内推出《党的二十大精神宣讲进基层》《学思想、强党性、重实践、建新功》《我的入党故事》《走在乡村振兴的大道上》《民族团结故事》等系列报道500余篇次，浏览量超百万。对全市高质量发展现场会、全县乡村振兴高质量发展现场会全程跟进报道，及时刊发创城、教育、医疗、城镇建设等社会民生重点项目推进情况报道。围绕五一、国庆等重点旅游节点集中推出推荐视频、图文报道60余篇，浏览量近百万。对清水河博物馆开馆、老牛湾超马赛、丰收节、长城文化节、张树鹏飞跃黄河等重大活动发布报道近200篇，浏览量达250万+。全年每天推出主题海报，充分发挥尚美尚善润物无声的宣传效果。 3.全方位打造清水河形象 以县域美景、美食、历史文化、民俗风情等为切入点，制作相关图文、视频90余条，浏览量达80余万，全方位打造可触、可知、可爱、可亲的清水河形象，助力“北疆文化”品牌建设。制作凉糕、酸米饭、油炸糕、月饼等《清水河味道》系列专题片；适时推出《正是踏春好时节》《又到荷花绽放时》《深秋的清水河》《冰封老牛湾》等“四季清水河”美景报道；弘扬长城文化，精心制作《身边的长城》9集系列纪录片；以非遗项目为重点，制作《清水河印记》系列图文15期。 4.不断强化外宣工作 2023年，县融媒体中心积极向上级媒体推送稿件，共采用147条，其中被国家级媒体采用9篇，自治区级媒体采用68篇，市级媒体采用70篇。配合中央电视台拍摄县宣传片，配合自治区奔腾融媒完成清水河文旅宣介片，进一步提升了县域外宣形象。 5.全力创作宣传精品 在全面完成宣传工作的同时，融媒体中心精心打造宣传精品。《新春走基层 玉兔迎春闹元宵》《清水河县：风电绿能助力绿色发展》等近80条信息发布到草原云、新华社、人民网、学习强国等平台；《春雪皑皑 润泽大地》《浑河春光好 候鸟入画来》在新华社、人民网海外版推广；《你好，我叫清水河，这是我的2023年简历》一天之内阅读量达2万；《黄河三湾》被评为全区县级融媒体中心2023年上半年优秀作品二等奖、在自治区文联全区生态文明建设主题评选活动中荣获最佳作品奖；《老牛湾黄河之夏嘉年华》获内蒙古广播电视奖文艺类新媒体类奖，《张树鹏成功飞越清水河县老牛湾黄河大峡谷 空中俯瞰看黄河与长城“握手”雄奇景观》获内蒙古广电局2023年第四季度网络视听推优节目；《身边的长城》入选内蒙古自治区广播电视局2024年网络视听重点项目，正在积极申报国家广播电视总局网络试听重点项目。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rPr>
                <w:rFonts w:hint="default" w:ascii="Times New Roman" w:hAnsi="Times New Roman" w:cs="Times New Roman"/>
                <w:sz w:val="20"/>
                <w:szCs w:val="20"/>
              </w:rPr>
            </w:pP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梁福仙</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13847132068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2024年03月26日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黑体">
    <w:panose1 w:val="02010609060101010101"/>
    <w:charset w:val="86"/>
    <w:family w:val="auto"/>
    <w:pitch w:val="fixed"/>
    <w:sig w:usb0="800002BF" w:usb1="38CF7CFA" w:usb2="00000016" w:usb3="00000000" w:csb0="00040001" w:csb1="00000000"/>
  </w:font>
  <w:font w:name="@楷体_GB2312">
    <w:panose1 w:val="02010609030101010101"/>
    <w:charset w:val="86"/>
    <w:family w:val="auto"/>
    <w:pitch w:val="fixed"/>
    <w:sig w:usb0="00000001" w:usb1="080E0000" w:usb2="00000000" w:usb3="00000000" w:csb0="00040000" w:csb1="00000000"/>
  </w:font>
  <w:font w:name="Cambria Math">
    <w:panose1 w:val="02040503050406030204"/>
    <w:charset w:val="01"/>
    <w:family w:val="auto"/>
    <w:pitch w:val="variable"/>
    <w:sig w:usb0="E00006FF" w:usb1="420024FF" w:usb2="02000000" w:usb3="00000000" w:csb0="2000019F" w:csb1="00000000"/>
  </w:font>
  <w:font w:name="楷体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8A77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font21"/>
    <w:basedOn w:val="13"/>
    <w:uiPriority w:val="0"/>
    <w:rPr>
      <w:rFonts w:hint="default" w:ascii="Times New Roman" w:hAnsi="Times New Roman" w:eastAsia="楷体_GB2312" w:cs="Times New Roman"/>
      <w:sz w:val="30"/>
      <w:szCs w:val="24"/>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2024-04-09T09:05:59Z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BE1D44A8716048169899BC8C84ED0D19_13</vt:lpwstr>
  </property>
</Properties>
</file>