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5"/>
          <w:b/>
          <w:bCs/>
          <w:sz w:val="30"/>
          <w:szCs w:val="30"/>
          <w:lang w:val="en-US"/>
        </w:rPr>
        <w:t>1215012439622160XK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5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清水河县气象灾害防御中心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清水河县气象灾害防御中心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气象防灾减灾、雷电灾害防御检测、专业专项气象服务、重大灾害气象应急服务、气候可行性论证。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清水河县气象局办公楼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10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清水河县气象灾害防御中心.公益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中心工作完成情况：充分发挥气象防灾减灾第一道防线作用,大力提升生态文明建设气象服务保障能力。圆满完成黄河开、封河、春耕春播、汛期、重大社会活动等气象服务保障工作，决策服务产品多次得到县主要领导的批示，全年开展地面火箭增雨（雪）作业11次，发射增雨火箭弹75发，为春耕春播、降低森林草原火险等级提供气象服务保障，气象服务工作得到县委、政府和社会各界的高度认可。清水河县国家气象观测站业务用房及配套基础设施建设项目被县委、政府列为年清水河县2023年重点建设项目，委员提案被政协十届清水河县委员会列为重点提案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吕强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15147193433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806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2024-04-09T09:05:25Z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3B09B8E65B314D8390E8DDFFCE3C4612_13</vt:lpwstr>
  </property>
</Properties>
</file>