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7"/>
          <w:b/>
          <w:bCs/>
          <w:sz w:val="30"/>
          <w:szCs w:val="30"/>
          <w:lang w:val="en-US"/>
        </w:rPr>
        <w:t>12150124674372329Q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7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清水河县民族幼儿园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8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清水河县民族幼儿园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实行保教相结合，开发幼儿智力，促进幼儿德智体美全面发展，促进其身心健康成长。为小学教育培养良好的学习、生活、行为习惯。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清水河县城关镇滨河北街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白凤龙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300</w:t>
            </w: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财政补助（财政补助）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1870.89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4"/>
                <w:sz w:val="32"/>
                <w:szCs w:val="32"/>
                <w:bdr w:val="none" w:color="auto" w:sz="0" w:space="0"/>
                <w:lang w:val="en-US"/>
              </w:rPr>
              <w:t>1795.95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清水河县民族幼儿园.公益二类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登记事项未发生变化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一、园务管理：为了使幼儿园管理工作逐步向规范化方向迈进，我们注重加强管理人员的政治思想素质的培养，在实际工作中严格照章办事，通过落实制度，明确职责，提高了教职工的工作责任感，促进了我园各项工作有序、有效的开展。 一、教师培养；加强学习，提高素质加强教师队伍建设，全员教师树立新型的教育观、教师观、加强师德修养，规范言行，自觉为人师表，形成和谐、诚信、团结的良好氛围。 二、保育教育：注重细节，提升质量。本学年教学教研注重了鼓励学习，相互研究，展示交流，促进老师们的专业化发展。 三、卫生保健：落实安全，细化保育。重视幼儿卫生工作，加强食堂管理制度，把好食品观，确保采购食物新鲜，无变质，保证厨具干净清洁，做好消毒工作。 四、家园工作：有序开展，做好家长工作是我园各项工作顺利开展的充分保障，我园主动、亲切与家长沟通，孩子们的进步、成长、特长、优点都及时反馈给家长，随时取得家长对老师们的信任和对幼儿园各项工作的支持和认可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自2020年9月02日至2025年9月02日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>冯艳芳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 xml:space="preserve">17804711969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9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2024年03月22日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273E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autoRedefine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6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5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5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7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8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9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20">
    <w:name w:val="hps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45391.6875000016</TotalTime>
  <ScaleCrop>false</ScaleCrop>
  <LinksUpToDate>false</LinksUpToDate>
  <CharactersWithSpaces>658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1899-12-29T16:00:00Z</dcterms:created>
  <dc:creator>雨林木风</dc:creator>
  <cp:lastModifiedBy>Administrator</cp:lastModifiedBy>
  <dcterms:modified xsi:type="dcterms:W3CDTF">2024-04-09T09:04:06Z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4389B0106D924BDFBE67B96AC42A23F0_13</vt:lpwstr>
  </property>
</Properties>
</file>