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6"/>
          <w:b/>
          <w:bCs/>
          <w:sz w:val="30"/>
          <w:szCs w:val="30"/>
          <w:lang w:val="en-US"/>
        </w:rPr>
        <w:t>12150124082171996X</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6"/>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清水河县老牛湾国家地质公园</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清水河县老牛湾国家地质公园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贯彻执行国家、地方有关地质公园保护等法律、法规和相关政策，依法保护地质公园内自然环境和地质遗迹资源，协助有关部门依法处理破坏、盗挖、倒卖地质遗迹资源的违法行为，以及破坏自然环境、文物古迹和其它景观的违法行为。开展地质公园内地质遗迹资料调查、评价和环境监测，对典型的地质遗迹和地貌景观承担开展建立档案技术支撑工作。指导在地质公园内经批准开展的科研、考察、学术交流、旅游开发和影视外景拍摄等各项活动。承担地质公园《总体规划》和地质遗迹保护建设项目的编制和报送的技术支撑工作，并组织实施。开展地质科研、科普教育和交流活动，普及地球科学知识。开展地质公园地学导游人员的培训和地质旅游宣传工作。负责老牛湾国家地质公园景区内地质资源及老牛湾民俗村人文景观等旅游资源的开发利用，并对景区内基础设施和服务设施进行建设和维护。完成清水河县人民政府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清水河县城关镇永安东街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党瑞军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10</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清水河县人民政府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455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清水河县老牛湾国家地质公园.公益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年度重点任务完成情况 1.全力协助完成清水河博物馆开馆运营和后期管理服务工作。一是统筹工程建设单位、设计单位全面完成博物馆建设、布展工作，积极组织专家及相关部门完成消防安防验收工作，顺利实现清水河博物馆按期开馆运营。二是针对博物馆地下渗水、排水不畅等工程问题，及时组织施工单位进行改造升级完善。三是积极配合县文旅体局完成自治区博物馆备案申报工作。四是主动对接县自然资源局、住建局相关部门，收集相关档案资料，筹备组织开展博物馆大验收及移交工作。 2.加快实施林草资源生态保护工程55万分项目。5月10日完成项目招标，5月11日开工建设，现已完工。共建设完成科普教育小径280平方米，安装完成导向指示牌、导览标识牌、宣传牌等指示牌，进一步提升地质公园基础服务水平，为努立创建5A级景区提供基础支持。 3.加强公园安全监管，持续提升公园管理服务水平。一是扎实做好景区景点安全生产工作，在节假日期间，协同相关单位部门对园区进行了安全排查，发现问题，立即整改，加强重点地段和重要景点的安全防护工作并在节假日期间安排值班人员在景区值守，确保景区安全。二是组织工队对老牛湾神牛广场主碑进行修缮，及时更换护栏、安装警示牌；同时对老牛湾景区路灯、矿产资源墙面字体多次进行修缮。三是组织相关专家对老牛湾东西游步栈道开展安全评估工作，进一步提升景区基础设施和服务管理能力。 4.加大宣传力度，做好科普宣传活动。通过打造“党建引领+地学科普”的党建品牌特色，以“党旗红 地质美”为抓手开展丰富多彩的主题党日活动，全力推动党建工作和宣传保护地质遗迹业务工作互融互促。一是充分利用清明、端午、“五一”、国庆以及世界地球日、环境日和自然遗产日等重要节假日，依托清水河博物馆地质遗迹展馆展示，多次组织开展了“珍爱地质遗迹 保护环境”等主题党日活动，进一步吸引更多游客走进博物馆有形有感深度体验地质遗迹之美。二是认真落实党员进社区“双报到”活动，积极举办各类科普宣传活动，通过树立科普宣传牌，现场讲解，发放科普宣传折页等形式，向广大居民群众普及地学知识，以提高社会公众对地质遗迹保护意识，推动更多人了解地质遗迹保护地质遗迹。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rPr>
                <w:rFonts w:hint="default" w:ascii="Times New Roman" w:hAnsi="Times New Roman" w:cs="Times New Roman"/>
                <w:sz w:val="20"/>
                <w:szCs w:val="20"/>
              </w:rPr>
            </w:pP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韩鑫</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13474834349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2024年03月21日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fixed"/>
    <w:sig w:usb0="00000001" w:usb1="080E0000" w:usb2="00000000" w:usb3="00000000" w:csb0="00040000" w:csb1="00000000"/>
  </w:font>
  <w:font w:name="Cambria Math">
    <w:panose1 w:val="02040503050406030204"/>
    <w:charset w:val="01"/>
    <w:family w:val="auto"/>
    <w:pitch w:val="variable"/>
    <w:sig w:usb0="E00006FF" w:usb1="420024FF" w:usb2="02000000" w:usb3="00000000" w:csb0="2000019F" w:csb1="00000000"/>
  </w:font>
  <w:font w:name="@宋体">
    <w:panose1 w:val="02010600030101010101"/>
    <w:charset w:val="86"/>
    <w:family w:val="auto"/>
    <w:pitch w:val="variable"/>
    <w:sig w:usb0="00000203" w:usb1="288F0000" w:usb2="00000006" w:usb3="00000000" w:csb0="00040001" w:csb1="00000000"/>
  </w:font>
  <w:font w:name="楷体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1741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font21"/>
    <w:basedOn w:val="13"/>
    <w:uiPriority w:val="0"/>
    <w:rPr>
      <w:rFonts w:hint="default" w:ascii="Times New Roman" w:hAnsi="Times New Roman" w:eastAsia="楷体_GB2312" w:cs="Times New Roman"/>
      <w:sz w:val="30"/>
      <w:szCs w:val="24"/>
    </w:rPr>
  </w:style>
  <w:style w:type="character" w:customStyle="1" w:styleId="17">
    <w:name w:val="font51"/>
    <w:basedOn w:val="13"/>
    <w:uiPriority w:val="0"/>
    <w:rPr>
      <w:rFonts w:hint="eastAsia" w:ascii="黑体" w:hAnsi="宋体" w:eastAsia="黑体" w:cs="黑体"/>
      <w:sz w:val="36"/>
      <w:szCs w:val="24"/>
    </w:rPr>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2024-04-09T09:03:45Z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BFF5552B0A4F4768A3A1F1510A63D02F_13</vt:lpwstr>
  </property>
</Properties>
</file>