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12150124460956345R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清水河县妇幼保健计划生育服务中心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辖区内妇女儿童提供围产保健、妇女保健、儿童保健等妇幼保健服务和妇女儿童常见病防治、助产技术服务等工作。承担计划生育宣传教育、技术服务、优生指导、药具发放、信息咨询、随访服务、生殖保健、人员培训等八项职能。开展妇幼重大公共卫生服务项目、孕前优生健康检查和出生缺陷综合防治等工作。受卫生健康行政部门委托承担辖区妇幼保健业务管理、培训和技术支持工作。完成清水河县卫生健康委员会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清水河县城关镇滨河南街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李龚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24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893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清水河县妇幼保健计划生育服务中心.公益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按照《孕产妇和0-6岁儿童管理规范》要求，通过摸排，全年出生206人，其中在我县住院分娩产妇121人，住院分娩活产数120人，产前筛查201人，筛查率99.01%，新生儿疾病筛查203人，筛查率98.54%，新生儿听力筛查203人，筛查率98.54%，新生儿耳聋基因、遗传代谢病筛查117人，筛查率98%。无新生儿破伤风发生，无孕产妇死亡发生。全年宫颈癌筛查8988人（在完成2022年、2023年8162人任务的基础上，超额筛查826人，筛查率110.12%），发现疑是病变182人，确诊癌及癌前期病变19人；乳腺癌筛查8914人（在完成2022年、2023年8162任务的基础上，超额筛查752人，筛查率109.21%），发现乳腺彩色超声检查3类314人，4类6人，5类1人。对筛查发现疾病的妇女均已采取进一步确诊和转介，确保得到有效治疗。全县共有0—6岁儿童2632人，健康管理2509人，健康管理率95.33%；其中3岁以下儿童884人，系统管理856人，系统管理率96.83%。0--6岁儿童眼保健和视力检查2422人，覆盖率为92.02%；其中6岁儿童视力筛查628人，视力不良6人，视力不良检出率为0.96%。5岁以下儿童接受血红蛋白检查1617人，其中贫血患病9人，患病率0.56%。全年我县分娩机构县医院孕产妇住院分娩活产120人，当年出生及时办理出生医学证明120人，办理率100%。严格加强《出生医学证明》办理资料档案管理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.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王俊福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15661151506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2024年03月06日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A6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hps"/>
    <w:basedOn w:val="13"/>
    <w:uiPriority w:val="0"/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2024-04-09T09:01:22Z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1F30F794F5BF4389BD0A26628B30F85C_13</vt:lpwstr>
  </property>
</Properties>
</file>