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12150124E35219135C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清水河县城关镇第一小学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全面落实党和国家的教育方针政策，贯彻执行教育法律法规和政策规定。服务本县范围内小学阶段学生的教育教学，为初等学校培养优秀学生。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2700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1926.71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1926.71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清水河县城关镇第一小学.公益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我校在上级教育主管部门的正确领导下，全面贯彻执行党的教育方针，坚持以高效课堂为切入点，强化教育教学研究和常规管理，深入实行改革，逐步改变教学模式。加强教师队伍建设，调动全体教师、学生的积极性和工作热情，发扬优良的校风、教风、学风，上下一致，团结协作，加强教学研究，不断解决教学中的新问题，全面提高教学质量。 一、加强校领导队伍建设，充分发挥班子成员的主导作用。 二、重视教师队伍建设，培养优秀师资。 三、加强德育工作，建设文明校风 多年来，我校注重对教师队伍的建设，加强职业道德修养，开展教师政治业务学习与教研，学校涌现出很多爱岗敬业、以校为家的模范教师。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穆永平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13848818436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0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2024-04-09T09:00:09Z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72F90FC2C63244D699EB93F469082614_13</vt:lpwstr>
  </property>
</Properties>
</file>