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12150124MB0N9305XA</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清水河县不动产登记中心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清水河县不动产登记中心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宣传贯彻实施《物权法》、《不动产登记暂行条例》以及国家、自治区、市关于不动产登记的法规、规章和政策。承担清水河县县域范围内不动产统一登记（土地、房屋、草原、林权、土地承包经营权等）工作。承担县不动产登记信息平台建设、管理、维护和信息共享工作。承担清水河县自然资源和不动产登记数据资料的收集、整理、入库、汇交、备份等数据库管理工作。承担县不动产登记资料社会查询服务工作。承担县不动产权籍调查、实地查看和权籍调查测绘成果的入库工作。承担县不动产登记政策研究、流程再造工作。完成清水河县自然资源局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清水河县政务服务中心一楼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高顶峰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30</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清水河县不动产登记局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.03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清水河县不动产登记中心.公益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一、有序开展日常不动产登记工作 一年来，我中心坚持有序开展日常的不动产登记工作，不断优化不动产登记营商环境，公开办事流程、办结时限推行公开承诺制，为企业和办事群众提供延时服务、预约服务、上门服务。 全面推进化解房地产领域“办证难”工作，有效化解社会矛盾。切实解决历史遗留项目的不动产登记办证难问题切实维护不动产权利人的合法权益。 二、全面提升不动产登记质量和水平 1.压缩办理时限。在受理资料齐全，符合要求的前提下，全部实现不动产较复杂登记 5 个工作日内办结，一般登记 3个工作日内办结，抵押登记 1 个工作日内办结，查封登记异议登记、抵押注销登记实现即时办理。 2.精简申请材料。取消不必要的证明、备案等事项，推行办事承诺制，能够信息共享的信息，不再要求老百姓提供纸质材料。 3.减少办理环节。一是结合工作实际，取消复审环节，各项登记业务审批流程均由三审制变为两审制，在原有的基础上进一步提升了办证时效。二是与税务部门实行“一窗受理，并行办理”。核税纳税、登记对外合并为一个申请环节。对不动产登记、税收征缴全过程“一件事”进行全流程优化，三是取消不动产登记不必要环节，合并相近环节和相关联登记业务。 4.为了提升不动产登记“便民利企”服务水平，不动产窗口联合县农村信用联社建设不动产金融联办综合服务窗口2个，将不动产登记业务前置到银行网点，开启了“互联网+不动产抵押登记”新模式，实现了企业群众在银行网点办理抵押贷款的同时，一并办理不动产抵押登记，无需再银行和不动产登记窗口之间两头跑，实现了抵押登记“只跑一次银行，只交一次材料，不动产登记网上审核”的不动产登记减环节、减要件、少跑腿的服务模式。 5.全面开展“互联网+不动产登记”，大力推行电子证照的生成和应用，实现线上线下一体化办理。目前不动产窗口已在不动产网上服务大厅完成了新建商品房转移登记、存量商品房转移登记、抵押首次登记、抵押变更登记、抵押注销登记、预购商品房预告登记、预购商品房抵押预告登记等七项高频业务的生产环境测试工作，并在不动产登记业务登簿 的同时，同步生成不动产登记电子证照。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张占梅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13948518744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2024年03月08日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C32A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2024-04-09T08:58:59Z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27E7CD3C43F84AD1A068AADB08CDB757_13</vt:lpwstr>
  </property>
</Properties>
</file>